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8F" w:rsidRDefault="00C024FA">
      <w:r>
        <w:t>2020 ACEA AGM – proposed changes to the ACEA Constitution</w:t>
      </w:r>
    </w:p>
    <w:p w:rsidR="00C024FA" w:rsidRDefault="00C024FA"/>
    <w:p w:rsidR="00C024FA" w:rsidRPr="00C024FA" w:rsidRDefault="00C024FA" w:rsidP="00C024FA">
      <w:pPr>
        <w:numPr>
          <w:ilvl w:val="0"/>
          <w:numId w:val="1"/>
        </w:numPr>
        <w:contextualSpacing/>
        <w:rPr>
          <w:lang w:val="en-US"/>
        </w:rPr>
      </w:pPr>
      <w:r w:rsidRPr="00C024FA">
        <w:rPr>
          <w:lang w:val="en-US"/>
        </w:rPr>
        <w:t>Purposes</w:t>
      </w:r>
    </w:p>
    <w:p w:rsidR="00C024FA" w:rsidRPr="00C024FA" w:rsidRDefault="00C024FA" w:rsidP="00C024FA">
      <w:pPr>
        <w:numPr>
          <w:ilvl w:val="0"/>
          <w:numId w:val="5"/>
        </w:numPr>
        <w:contextualSpacing/>
        <w:rPr>
          <w:lang w:val="en-US"/>
        </w:rPr>
      </w:pPr>
      <w:r w:rsidRPr="00C024FA">
        <w:rPr>
          <w:lang w:val="en-US"/>
        </w:rPr>
        <w:t>The following proposed ACEA constitution amendments are prepared to present to members in advance of the October 2020 ACEA  AGM</w:t>
      </w:r>
    </w:p>
    <w:p w:rsidR="00C024FA" w:rsidRPr="00C024FA" w:rsidRDefault="00C024FA" w:rsidP="00C024FA">
      <w:pPr>
        <w:numPr>
          <w:ilvl w:val="0"/>
          <w:numId w:val="5"/>
        </w:numPr>
        <w:contextualSpacing/>
        <w:rPr>
          <w:lang w:val="en-US"/>
        </w:rPr>
      </w:pPr>
      <w:r w:rsidRPr="00C024FA">
        <w:rPr>
          <w:lang w:val="en-US"/>
        </w:rPr>
        <w:t>The ACEA Teacher of the Year policy be updated to reflect current Corrections Education practice and ensure consistency in timing with policy intent.</w:t>
      </w:r>
    </w:p>
    <w:p w:rsidR="00C024FA" w:rsidRPr="00C024FA" w:rsidRDefault="00C024FA" w:rsidP="00C024FA">
      <w:pPr>
        <w:ind w:left="720"/>
        <w:contextualSpacing/>
        <w:rPr>
          <w:lang w:val="en-US"/>
        </w:rPr>
      </w:pPr>
    </w:p>
    <w:p w:rsidR="00C024FA" w:rsidRPr="00C024FA" w:rsidRDefault="00C024FA" w:rsidP="00C024FA">
      <w:pPr>
        <w:numPr>
          <w:ilvl w:val="0"/>
          <w:numId w:val="1"/>
        </w:numPr>
        <w:contextualSpacing/>
        <w:rPr>
          <w:lang w:val="en-US"/>
        </w:rPr>
      </w:pPr>
      <w:r w:rsidRPr="00C024FA">
        <w:rPr>
          <w:lang w:val="en-US"/>
        </w:rPr>
        <w:t>Scope:</w:t>
      </w:r>
    </w:p>
    <w:p w:rsidR="00C024FA" w:rsidRPr="00C024FA" w:rsidRDefault="00C024FA" w:rsidP="00C024FA">
      <w:pPr>
        <w:ind w:left="720"/>
        <w:contextualSpacing/>
        <w:rPr>
          <w:lang w:val="en-US"/>
        </w:rPr>
      </w:pPr>
      <w:r w:rsidRPr="00C024FA">
        <w:rPr>
          <w:lang w:val="en-US"/>
        </w:rPr>
        <w:t>These proposed amendments ensure consistency between the ACEA constitution and its business processes.  These areas of consistency relate to:</w:t>
      </w:r>
    </w:p>
    <w:p w:rsidR="00C024FA" w:rsidRPr="00C024FA" w:rsidRDefault="00C024FA" w:rsidP="00C024FA">
      <w:pPr>
        <w:numPr>
          <w:ilvl w:val="0"/>
          <w:numId w:val="2"/>
        </w:numPr>
        <w:contextualSpacing/>
        <w:rPr>
          <w:lang w:val="en-US"/>
        </w:rPr>
      </w:pPr>
      <w:r w:rsidRPr="00C024FA">
        <w:rPr>
          <w:lang w:val="en-US"/>
        </w:rPr>
        <w:t>Changes in membership structure and definition;</w:t>
      </w:r>
    </w:p>
    <w:p w:rsidR="00C024FA" w:rsidRPr="00C024FA" w:rsidRDefault="00C024FA" w:rsidP="00C024FA">
      <w:pPr>
        <w:numPr>
          <w:ilvl w:val="0"/>
          <w:numId w:val="2"/>
        </w:numPr>
        <w:contextualSpacing/>
        <w:rPr>
          <w:lang w:val="en-US"/>
        </w:rPr>
      </w:pPr>
      <w:r w:rsidRPr="00C024FA">
        <w:rPr>
          <w:lang w:val="en-US"/>
        </w:rPr>
        <w:t xml:space="preserve">Clarity in financial ACEA membership terms </w:t>
      </w:r>
    </w:p>
    <w:p w:rsidR="00C024FA" w:rsidRPr="00C024FA" w:rsidRDefault="00C024FA" w:rsidP="00C024FA">
      <w:pPr>
        <w:numPr>
          <w:ilvl w:val="0"/>
          <w:numId w:val="2"/>
        </w:numPr>
        <w:contextualSpacing/>
        <w:rPr>
          <w:lang w:val="en-US"/>
        </w:rPr>
      </w:pPr>
      <w:r w:rsidRPr="00C024FA">
        <w:rPr>
          <w:lang w:val="en-US"/>
        </w:rPr>
        <w:t>Change in Teacher of the Year (TOY) terminology and definition</w:t>
      </w:r>
    </w:p>
    <w:p w:rsidR="00C024FA" w:rsidRPr="00C024FA" w:rsidRDefault="00C024FA" w:rsidP="00C024FA">
      <w:pPr>
        <w:ind w:left="1440"/>
        <w:contextualSpacing/>
        <w:rPr>
          <w:lang w:val="en-US"/>
        </w:rPr>
      </w:pPr>
    </w:p>
    <w:p w:rsidR="00C024FA" w:rsidRPr="00C024FA" w:rsidRDefault="00C024FA" w:rsidP="00C024FA">
      <w:pPr>
        <w:numPr>
          <w:ilvl w:val="0"/>
          <w:numId w:val="1"/>
        </w:numPr>
        <w:contextualSpacing/>
        <w:rPr>
          <w:lang w:val="en-US"/>
        </w:rPr>
      </w:pPr>
      <w:r w:rsidRPr="00C024FA">
        <w:rPr>
          <w:lang w:val="en-US"/>
        </w:rPr>
        <w:t>Issues:</w:t>
      </w:r>
    </w:p>
    <w:p w:rsidR="00C024FA" w:rsidRPr="00C024FA" w:rsidRDefault="00C024FA" w:rsidP="00C024FA">
      <w:pPr>
        <w:ind w:left="1440" w:hanging="731"/>
        <w:contextualSpacing/>
        <w:rPr>
          <w:lang w:val="en-US"/>
        </w:rPr>
      </w:pPr>
      <w:r w:rsidRPr="00C024FA">
        <w:rPr>
          <w:lang w:val="en-US"/>
        </w:rPr>
        <w:t>3.1</w:t>
      </w:r>
      <w:r w:rsidRPr="00C024FA">
        <w:rPr>
          <w:lang w:val="en-US"/>
        </w:rPr>
        <w:tab/>
        <w:t xml:space="preserve">ACEA membership scope has extended to incorporate whole of jurisdiction financial members.  This arises where whole of country jurisdiction (e.g. New Zealand) sought financial membership of ACEA.  This offering is available to attract whole of country representation from Pacific Rim nations.  </w:t>
      </w:r>
    </w:p>
    <w:p w:rsidR="00C024FA" w:rsidRPr="00C024FA" w:rsidRDefault="00C024FA" w:rsidP="00C024FA">
      <w:pPr>
        <w:ind w:left="1440" w:hanging="731"/>
        <w:contextualSpacing/>
        <w:rPr>
          <w:lang w:val="en-US"/>
        </w:rPr>
      </w:pPr>
      <w:r w:rsidRPr="00C024FA">
        <w:rPr>
          <w:lang w:val="en-US"/>
        </w:rPr>
        <w:t>3.2</w:t>
      </w:r>
      <w:r w:rsidRPr="00C024FA">
        <w:rPr>
          <w:lang w:val="en-US"/>
        </w:rPr>
        <w:tab/>
        <w:t>There is a discrepancy in current Constitution and past membership currency practices.  The Constitution specifies calendar year members ending at 31 December each calendar year.  Practice over the past few years is based on annual (i.e. 12 month) membership subscription.  The ACEA executive sees benefit in the annual subscription model and therefore recommends changing the constitution wording consistent with past practice.</w:t>
      </w:r>
    </w:p>
    <w:p w:rsidR="00C024FA" w:rsidRPr="00C024FA" w:rsidRDefault="00C024FA" w:rsidP="00C024FA">
      <w:pPr>
        <w:ind w:left="1440" w:hanging="731"/>
        <w:contextualSpacing/>
        <w:rPr>
          <w:lang w:val="en-US"/>
        </w:rPr>
      </w:pPr>
      <w:r w:rsidRPr="00C024FA">
        <w:rPr>
          <w:lang w:val="en-US"/>
        </w:rPr>
        <w:t>3.3</w:t>
      </w:r>
      <w:r w:rsidRPr="00C024FA">
        <w:rPr>
          <w:lang w:val="en-US"/>
        </w:rPr>
        <w:tab/>
        <w:t xml:space="preserve"> The ACEA Executive call for nominations to fill the vacant secretary position and that the AGM </w:t>
      </w:r>
      <w:r w:rsidRPr="00C024FA">
        <w:rPr>
          <w:lang w:val="en-US"/>
        </w:rPr>
        <w:t>institute a</w:t>
      </w:r>
      <w:r w:rsidRPr="00C024FA">
        <w:rPr>
          <w:lang w:val="en-US"/>
        </w:rPr>
        <w:t xml:space="preserve"> new executive position relating to the management of ACEA communications and information via the ACEA website</w:t>
      </w:r>
    </w:p>
    <w:p w:rsidR="00C024FA" w:rsidRPr="00C024FA" w:rsidRDefault="00C024FA" w:rsidP="00C024FA">
      <w:pPr>
        <w:ind w:left="1440" w:hanging="731"/>
        <w:contextualSpacing/>
        <w:rPr>
          <w:lang w:val="en-US"/>
        </w:rPr>
      </w:pPr>
    </w:p>
    <w:p w:rsidR="00C024FA" w:rsidRPr="00C024FA" w:rsidRDefault="00C024FA" w:rsidP="00C024FA">
      <w:pPr>
        <w:ind w:left="1418" w:hanging="709"/>
        <w:contextualSpacing/>
        <w:rPr>
          <w:lang w:val="en-US"/>
        </w:rPr>
      </w:pPr>
      <w:r w:rsidRPr="00C024FA">
        <w:rPr>
          <w:lang w:val="en-US"/>
        </w:rPr>
        <w:t>3.4</w:t>
      </w:r>
      <w:r w:rsidRPr="00C024FA">
        <w:rPr>
          <w:lang w:val="en-US"/>
        </w:rPr>
        <w:tab/>
        <w:t xml:space="preserve"> The Advisory council advised there is inconsistency in the terminology, interpretation of scope and practice relating to the ACEA Teacher of the Year.   The Advisory council and Executive recommend the award be changed to Corrections Educator of the year and that the award be celebrated annually.</w:t>
      </w:r>
    </w:p>
    <w:p w:rsidR="00C024FA" w:rsidRPr="00C024FA" w:rsidRDefault="00C024FA" w:rsidP="00C024FA">
      <w:pPr>
        <w:ind w:left="1440" w:hanging="731"/>
        <w:contextualSpacing/>
        <w:rPr>
          <w:lang w:val="en-US"/>
        </w:rPr>
      </w:pPr>
    </w:p>
    <w:p w:rsidR="00C024FA" w:rsidRPr="00C024FA" w:rsidRDefault="00C024FA" w:rsidP="00C024FA">
      <w:pPr>
        <w:ind w:left="1440" w:hanging="731"/>
        <w:contextualSpacing/>
        <w:rPr>
          <w:lang w:val="en-US"/>
        </w:rPr>
      </w:pPr>
    </w:p>
    <w:p w:rsidR="00C024FA" w:rsidRPr="00C024FA" w:rsidRDefault="00C024FA" w:rsidP="00C024FA">
      <w:pPr>
        <w:numPr>
          <w:ilvl w:val="0"/>
          <w:numId w:val="1"/>
        </w:numPr>
        <w:contextualSpacing/>
        <w:rPr>
          <w:lang w:val="en-US"/>
        </w:rPr>
      </w:pPr>
      <w:r w:rsidRPr="00C024FA">
        <w:rPr>
          <w:lang w:val="en-US"/>
        </w:rPr>
        <w:t>Recommendations:</w:t>
      </w:r>
    </w:p>
    <w:p w:rsidR="00C024FA" w:rsidRDefault="00114AF8">
      <w:r>
        <w:t>Uiiiiiiii88iu</w:t>
      </w:r>
    </w:p>
    <w:tbl>
      <w:tblPr>
        <w:tblStyle w:val="TableGrid"/>
        <w:tblW w:w="0" w:type="auto"/>
        <w:tblLook w:val="04A0" w:firstRow="1" w:lastRow="0" w:firstColumn="1" w:lastColumn="0" w:noHBand="0" w:noVBand="1"/>
      </w:tblPr>
      <w:tblGrid>
        <w:gridCol w:w="4508"/>
        <w:gridCol w:w="4508"/>
      </w:tblGrid>
      <w:tr w:rsidR="00C024FA" w:rsidTr="00C024FA">
        <w:tc>
          <w:tcPr>
            <w:tcW w:w="4508" w:type="dxa"/>
          </w:tcPr>
          <w:p w:rsidR="00C024FA" w:rsidRDefault="00C024FA">
            <w:r>
              <w:t>Current</w:t>
            </w:r>
          </w:p>
        </w:tc>
        <w:tc>
          <w:tcPr>
            <w:tcW w:w="4508" w:type="dxa"/>
          </w:tcPr>
          <w:p w:rsidR="00C024FA" w:rsidRDefault="00C024FA">
            <w:r>
              <w:t>Replace with</w:t>
            </w:r>
          </w:p>
        </w:tc>
      </w:tr>
      <w:tr w:rsidR="00C024FA" w:rsidTr="00C024FA">
        <w:tc>
          <w:tcPr>
            <w:tcW w:w="4508" w:type="dxa"/>
          </w:tcPr>
          <w:p w:rsidR="00C024FA" w:rsidRPr="00C024FA" w:rsidRDefault="00C024FA" w:rsidP="00C024FA">
            <w:pPr>
              <w:widowControl w:val="0"/>
              <w:numPr>
                <w:ilvl w:val="0"/>
                <w:numId w:val="4"/>
              </w:numPr>
              <w:tabs>
                <w:tab w:val="left" w:pos="1980"/>
                <w:tab w:val="left" w:pos="1981"/>
              </w:tabs>
              <w:autoSpaceDE w:val="0"/>
              <w:autoSpaceDN w:val="0"/>
              <w:spacing w:before="121"/>
              <w:ind w:left="426" w:right="363" w:hanging="426"/>
              <w:rPr>
                <w:rFonts w:cstheme="minorHAnsi"/>
              </w:rPr>
            </w:pPr>
            <w:r w:rsidRPr="00C024FA">
              <w:rPr>
                <w:rFonts w:cstheme="minorHAnsi"/>
              </w:rPr>
              <w:t>(1) A person or organisation is qualified to be a member of ACEA if, but only</w:t>
            </w:r>
            <w:r w:rsidRPr="00C024FA">
              <w:rPr>
                <w:rFonts w:cstheme="minorHAnsi"/>
                <w:spacing w:val="-1"/>
              </w:rPr>
              <w:t xml:space="preserve"> </w:t>
            </w:r>
            <w:r w:rsidRPr="00C024FA">
              <w:rPr>
                <w:rFonts w:cstheme="minorHAnsi"/>
              </w:rPr>
              <w:t>if:</w:t>
            </w:r>
          </w:p>
          <w:p w:rsidR="00C024FA" w:rsidRPr="00C024FA" w:rsidRDefault="00C024FA" w:rsidP="00C024FA">
            <w:pPr>
              <w:widowControl w:val="0"/>
              <w:numPr>
                <w:ilvl w:val="2"/>
                <w:numId w:val="3"/>
              </w:numPr>
              <w:tabs>
                <w:tab w:val="left" w:pos="2477"/>
                <w:tab w:val="left" w:pos="2478"/>
              </w:tabs>
              <w:autoSpaceDE w:val="0"/>
              <w:autoSpaceDN w:val="0"/>
              <w:spacing w:before="120" w:line="252" w:lineRule="exact"/>
              <w:ind w:left="1343" w:hanging="497"/>
              <w:rPr>
                <w:rFonts w:cstheme="minorHAnsi"/>
              </w:rPr>
            </w:pPr>
            <w:r w:rsidRPr="00C024FA">
              <w:rPr>
                <w:rFonts w:cstheme="minorHAnsi"/>
              </w:rPr>
              <w:t>the person is a person referred to in section 15(1) (a), (b)</w:t>
            </w:r>
            <w:r w:rsidRPr="00C024FA">
              <w:rPr>
                <w:rFonts w:cstheme="minorHAnsi"/>
                <w:spacing w:val="-24"/>
              </w:rPr>
              <w:t xml:space="preserve"> </w:t>
            </w:r>
            <w:r w:rsidRPr="00C024FA">
              <w:rPr>
                <w:rFonts w:cstheme="minorHAnsi"/>
              </w:rPr>
              <w:t>or</w:t>
            </w:r>
          </w:p>
          <w:p w:rsidR="00C024FA" w:rsidRPr="00C024FA" w:rsidRDefault="00C024FA" w:rsidP="00C024FA">
            <w:pPr>
              <w:widowControl w:val="0"/>
              <w:autoSpaceDE w:val="0"/>
              <w:autoSpaceDN w:val="0"/>
              <w:ind w:left="1343" w:right="357"/>
              <w:rPr>
                <w:rFonts w:eastAsia="Arial" w:cstheme="minorHAnsi"/>
                <w:lang w:val="en-US"/>
              </w:rPr>
            </w:pPr>
            <w:r w:rsidRPr="00C024FA">
              <w:rPr>
                <w:rFonts w:eastAsia="Arial" w:cstheme="minorHAnsi"/>
                <w:lang w:val="en-US"/>
              </w:rPr>
              <w:t xml:space="preserve">(c) of the Act and has not ceased to be a member of </w:t>
            </w:r>
            <w:r w:rsidRPr="00C024FA">
              <w:rPr>
                <w:rFonts w:eastAsia="Arial" w:cstheme="minorHAnsi"/>
                <w:lang w:val="en-US"/>
              </w:rPr>
              <w:lastRenderedPageBreak/>
              <w:t>ACEA at any time after incorporation of ACEA under the Act,</w:t>
            </w:r>
          </w:p>
          <w:p w:rsidR="00C024FA" w:rsidRPr="00C024FA" w:rsidRDefault="00C024FA" w:rsidP="00C024FA">
            <w:pPr>
              <w:widowControl w:val="0"/>
              <w:numPr>
                <w:ilvl w:val="2"/>
                <w:numId w:val="3"/>
              </w:numPr>
              <w:tabs>
                <w:tab w:val="left" w:pos="2477"/>
                <w:tab w:val="left" w:pos="2478"/>
              </w:tabs>
              <w:autoSpaceDE w:val="0"/>
              <w:autoSpaceDN w:val="0"/>
              <w:spacing w:before="120"/>
              <w:ind w:left="1343" w:hanging="497"/>
              <w:rPr>
                <w:rFonts w:cstheme="minorHAnsi"/>
              </w:rPr>
            </w:pPr>
            <w:r w:rsidRPr="00C024FA">
              <w:rPr>
                <w:rFonts w:cstheme="minorHAnsi"/>
              </w:rPr>
              <w:t>the person is a natural</w:t>
            </w:r>
            <w:r w:rsidRPr="00C024FA">
              <w:rPr>
                <w:rFonts w:cstheme="minorHAnsi"/>
                <w:spacing w:val="-3"/>
              </w:rPr>
              <w:t xml:space="preserve"> </w:t>
            </w:r>
            <w:r w:rsidRPr="00C024FA">
              <w:rPr>
                <w:rFonts w:cstheme="minorHAnsi"/>
              </w:rPr>
              <w:t>person:</w:t>
            </w:r>
          </w:p>
          <w:p w:rsidR="00C024FA" w:rsidRPr="00C024FA" w:rsidRDefault="00C024FA" w:rsidP="00C024FA">
            <w:pPr>
              <w:widowControl w:val="0"/>
              <w:numPr>
                <w:ilvl w:val="3"/>
                <w:numId w:val="3"/>
              </w:numPr>
              <w:tabs>
                <w:tab w:val="left" w:pos="3017"/>
                <w:tab w:val="left" w:pos="3018"/>
              </w:tabs>
              <w:autoSpaceDE w:val="0"/>
              <w:autoSpaceDN w:val="0"/>
              <w:spacing w:before="122"/>
              <w:ind w:left="2274" w:right="321" w:hanging="931"/>
              <w:rPr>
                <w:rFonts w:cstheme="minorHAnsi"/>
              </w:rPr>
            </w:pPr>
            <w:r w:rsidRPr="00C024FA">
              <w:rPr>
                <w:rFonts w:cstheme="minorHAnsi"/>
              </w:rPr>
              <w:t>who has been nominated for membership of ACEA as provided by rule 3,</w:t>
            </w:r>
            <w:r w:rsidRPr="00C024FA">
              <w:rPr>
                <w:rFonts w:cstheme="minorHAnsi"/>
                <w:spacing w:val="-1"/>
              </w:rPr>
              <w:t xml:space="preserve"> </w:t>
            </w:r>
            <w:r w:rsidRPr="00C024FA">
              <w:rPr>
                <w:rFonts w:cstheme="minorHAnsi"/>
              </w:rPr>
              <w:t>and</w:t>
            </w:r>
          </w:p>
          <w:p w:rsidR="00C024FA" w:rsidRPr="00C024FA" w:rsidRDefault="00C024FA" w:rsidP="00C024FA">
            <w:pPr>
              <w:widowControl w:val="0"/>
              <w:numPr>
                <w:ilvl w:val="3"/>
                <w:numId w:val="3"/>
              </w:numPr>
              <w:tabs>
                <w:tab w:val="left" w:pos="3017"/>
                <w:tab w:val="left" w:pos="3018"/>
              </w:tabs>
              <w:autoSpaceDE w:val="0"/>
              <w:autoSpaceDN w:val="0"/>
              <w:spacing w:before="69"/>
              <w:ind w:left="2274" w:right="428" w:hanging="931"/>
              <w:rPr>
                <w:rFonts w:cstheme="minorHAnsi"/>
              </w:rPr>
            </w:pPr>
            <w:r w:rsidRPr="00C024FA">
              <w:rPr>
                <w:rFonts w:cstheme="minorHAnsi"/>
              </w:rPr>
              <w:t>who has been approved for membership of ACEA by the ACEA Executive Committee of</w:t>
            </w:r>
            <w:r w:rsidRPr="00C024FA">
              <w:rPr>
                <w:rFonts w:cstheme="minorHAnsi"/>
                <w:spacing w:val="-5"/>
              </w:rPr>
              <w:t xml:space="preserve"> </w:t>
            </w:r>
            <w:r w:rsidRPr="00C024FA">
              <w:rPr>
                <w:rFonts w:cstheme="minorHAnsi"/>
              </w:rPr>
              <w:t>ACEA,</w:t>
            </w:r>
          </w:p>
          <w:p w:rsidR="00C024FA" w:rsidRPr="00C024FA" w:rsidRDefault="00C024FA" w:rsidP="00C024FA">
            <w:pPr>
              <w:widowControl w:val="0"/>
              <w:autoSpaceDE w:val="0"/>
              <w:autoSpaceDN w:val="0"/>
              <w:spacing w:before="121"/>
              <w:ind w:left="1554"/>
              <w:rPr>
                <w:rFonts w:eastAsia="Arial" w:cstheme="minorHAnsi"/>
                <w:lang w:val="en-US"/>
              </w:rPr>
            </w:pPr>
            <w:r w:rsidRPr="00C024FA">
              <w:rPr>
                <w:rFonts w:eastAsia="Arial" w:cstheme="minorHAnsi"/>
                <w:lang w:val="en-US"/>
              </w:rPr>
              <w:t>or</w:t>
            </w:r>
          </w:p>
          <w:p w:rsidR="00C024FA" w:rsidRPr="00C024FA" w:rsidRDefault="00C024FA" w:rsidP="00C024FA">
            <w:pPr>
              <w:widowControl w:val="0"/>
              <w:numPr>
                <w:ilvl w:val="2"/>
                <w:numId w:val="3"/>
              </w:numPr>
              <w:tabs>
                <w:tab w:val="left" w:pos="2837"/>
                <w:tab w:val="left" w:pos="2838"/>
              </w:tabs>
              <w:autoSpaceDE w:val="0"/>
              <w:autoSpaceDN w:val="0"/>
              <w:spacing w:before="121"/>
              <w:ind w:left="1703" w:hanging="720"/>
              <w:rPr>
                <w:rFonts w:cstheme="minorHAnsi"/>
              </w:rPr>
            </w:pPr>
            <w:r w:rsidRPr="00C024FA">
              <w:rPr>
                <w:rFonts w:cstheme="minorHAnsi"/>
              </w:rPr>
              <w:t>the</w:t>
            </w:r>
            <w:r w:rsidRPr="00C024FA">
              <w:rPr>
                <w:rFonts w:cstheme="minorHAnsi"/>
                <w:spacing w:val="-1"/>
              </w:rPr>
              <w:t xml:space="preserve"> </w:t>
            </w:r>
            <w:r w:rsidRPr="00C024FA">
              <w:rPr>
                <w:rFonts w:cstheme="minorHAnsi"/>
              </w:rPr>
              <w:t>organisation:</w:t>
            </w:r>
          </w:p>
          <w:p w:rsidR="00C024FA" w:rsidRPr="00C024FA" w:rsidRDefault="00C024FA" w:rsidP="00C024FA">
            <w:pPr>
              <w:widowControl w:val="0"/>
              <w:autoSpaceDE w:val="0"/>
              <w:autoSpaceDN w:val="0"/>
              <w:spacing w:before="119"/>
              <w:ind w:left="1883" w:right="574" w:hanging="361"/>
              <w:rPr>
                <w:rFonts w:eastAsia="Arial" w:cstheme="minorHAnsi"/>
                <w:lang w:val="en-US"/>
              </w:rPr>
            </w:pPr>
            <w:r w:rsidRPr="00C024FA">
              <w:rPr>
                <w:rFonts w:eastAsia="Arial" w:cstheme="minorHAnsi"/>
                <w:lang w:val="en-US"/>
              </w:rPr>
              <w:t>(ii) has been nominated for membership of ACEA as provided by rule 3, and</w:t>
            </w:r>
          </w:p>
          <w:p w:rsidR="00C024FA" w:rsidRPr="00C024FA" w:rsidRDefault="00C024FA" w:rsidP="00C024FA">
            <w:pPr>
              <w:widowControl w:val="0"/>
              <w:autoSpaceDE w:val="0"/>
              <w:autoSpaceDN w:val="0"/>
              <w:spacing w:before="121"/>
              <w:ind w:left="1883" w:right="304" w:hanging="361"/>
              <w:rPr>
                <w:rFonts w:eastAsia="Arial" w:cstheme="minorHAnsi"/>
                <w:lang w:val="en-US"/>
              </w:rPr>
            </w:pPr>
            <w:r w:rsidRPr="00C024FA">
              <w:rPr>
                <w:rFonts w:eastAsia="Arial" w:cstheme="minorHAnsi"/>
                <w:lang w:val="en-US"/>
              </w:rPr>
              <w:t xml:space="preserve">(ii) </w:t>
            </w:r>
            <w:proofErr w:type="gramStart"/>
            <w:r w:rsidRPr="00C024FA">
              <w:rPr>
                <w:rFonts w:eastAsia="Arial" w:cstheme="minorHAnsi"/>
                <w:lang w:val="en-US"/>
              </w:rPr>
              <w:t>has</w:t>
            </w:r>
            <w:proofErr w:type="gramEnd"/>
            <w:r w:rsidRPr="00C024FA">
              <w:rPr>
                <w:rFonts w:eastAsia="Arial" w:cstheme="minorHAnsi"/>
                <w:lang w:val="en-US"/>
              </w:rPr>
              <w:t xml:space="preserve"> been approved for membership of ACEA by the ACEA Executive Committee of ACEA.</w:t>
            </w:r>
          </w:p>
          <w:p w:rsidR="00C024FA" w:rsidRDefault="00C024FA"/>
        </w:tc>
        <w:tc>
          <w:tcPr>
            <w:tcW w:w="4508" w:type="dxa"/>
          </w:tcPr>
          <w:p w:rsidR="00C024FA" w:rsidRPr="00C024FA" w:rsidRDefault="00C024FA" w:rsidP="00C024FA">
            <w:pPr>
              <w:widowControl w:val="0"/>
              <w:tabs>
                <w:tab w:val="left" w:pos="1980"/>
                <w:tab w:val="left" w:pos="1981"/>
              </w:tabs>
              <w:autoSpaceDE w:val="0"/>
              <w:autoSpaceDN w:val="0"/>
              <w:spacing w:before="121"/>
              <w:ind w:right="363"/>
              <w:rPr>
                <w:rFonts w:cstheme="minorHAnsi"/>
              </w:rPr>
            </w:pPr>
            <w:r w:rsidRPr="00C024FA">
              <w:rPr>
                <w:lang w:val="en-US"/>
              </w:rPr>
              <w:lastRenderedPageBreak/>
              <w:t xml:space="preserve">2 </w:t>
            </w:r>
            <w:r w:rsidRPr="00C024FA">
              <w:rPr>
                <w:rFonts w:cstheme="minorHAnsi"/>
              </w:rPr>
              <w:t xml:space="preserve">(1) A person, organisation </w:t>
            </w:r>
            <w:r w:rsidRPr="00C024FA">
              <w:rPr>
                <w:rFonts w:cstheme="minorHAnsi"/>
                <w:i/>
              </w:rPr>
              <w:t>or jurisdiction</w:t>
            </w:r>
            <w:r w:rsidRPr="00C024FA">
              <w:rPr>
                <w:rFonts w:cstheme="minorHAnsi"/>
              </w:rPr>
              <w:t xml:space="preserve"> is qualified to be a member of ACEA if, but only</w:t>
            </w:r>
            <w:r w:rsidRPr="00C024FA">
              <w:rPr>
                <w:rFonts w:cstheme="minorHAnsi"/>
                <w:spacing w:val="-1"/>
              </w:rPr>
              <w:t xml:space="preserve"> </w:t>
            </w:r>
            <w:r w:rsidRPr="00C024FA">
              <w:rPr>
                <w:rFonts w:cstheme="minorHAnsi"/>
              </w:rPr>
              <w:t>if:</w:t>
            </w:r>
          </w:p>
          <w:p w:rsidR="00C024FA" w:rsidRPr="00C024FA" w:rsidRDefault="00C024FA" w:rsidP="00C024FA">
            <w:pPr>
              <w:widowControl w:val="0"/>
              <w:numPr>
                <w:ilvl w:val="0"/>
                <w:numId w:val="7"/>
              </w:numPr>
              <w:tabs>
                <w:tab w:val="left" w:pos="2477"/>
                <w:tab w:val="left" w:pos="2478"/>
              </w:tabs>
              <w:autoSpaceDE w:val="0"/>
              <w:autoSpaceDN w:val="0"/>
              <w:spacing w:before="120" w:line="252" w:lineRule="exact"/>
              <w:ind w:left="1126"/>
              <w:rPr>
                <w:rFonts w:cstheme="minorHAnsi"/>
              </w:rPr>
            </w:pPr>
            <w:r w:rsidRPr="00C024FA">
              <w:rPr>
                <w:rFonts w:cstheme="minorHAnsi"/>
              </w:rPr>
              <w:t>the person is a person referred to in section 15(1) (a), (b)</w:t>
            </w:r>
            <w:r w:rsidRPr="00C024FA">
              <w:rPr>
                <w:rFonts w:cstheme="minorHAnsi"/>
                <w:spacing w:val="-24"/>
              </w:rPr>
              <w:t xml:space="preserve"> </w:t>
            </w:r>
            <w:r w:rsidRPr="00C024FA">
              <w:rPr>
                <w:rFonts w:cstheme="minorHAnsi"/>
              </w:rPr>
              <w:t>or</w:t>
            </w:r>
          </w:p>
          <w:p w:rsidR="00C024FA" w:rsidRPr="00C024FA" w:rsidRDefault="00C024FA" w:rsidP="00C024FA">
            <w:pPr>
              <w:widowControl w:val="0"/>
              <w:autoSpaceDE w:val="0"/>
              <w:autoSpaceDN w:val="0"/>
              <w:ind w:left="917" w:right="357"/>
              <w:rPr>
                <w:rFonts w:eastAsia="Arial" w:cstheme="minorHAnsi"/>
                <w:lang w:val="en-US"/>
              </w:rPr>
            </w:pPr>
            <w:r w:rsidRPr="00C024FA">
              <w:rPr>
                <w:rFonts w:eastAsia="Arial" w:cstheme="minorHAnsi"/>
                <w:lang w:val="en-US"/>
              </w:rPr>
              <w:t xml:space="preserve">(c) of the Act and has not ceased to be a member of ACEA at any </w:t>
            </w:r>
            <w:r w:rsidRPr="00C024FA">
              <w:rPr>
                <w:rFonts w:eastAsia="Arial" w:cstheme="minorHAnsi"/>
                <w:lang w:val="en-US"/>
              </w:rPr>
              <w:lastRenderedPageBreak/>
              <w:t>time after incorporation of ACEA under the Act,</w:t>
            </w:r>
          </w:p>
          <w:p w:rsidR="00C024FA" w:rsidRPr="00C024FA" w:rsidRDefault="00C024FA" w:rsidP="00C024FA">
            <w:pPr>
              <w:widowControl w:val="0"/>
              <w:numPr>
                <w:ilvl w:val="0"/>
                <w:numId w:val="7"/>
              </w:numPr>
              <w:tabs>
                <w:tab w:val="left" w:pos="2477"/>
                <w:tab w:val="left" w:pos="2478"/>
              </w:tabs>
              <w:autoSpaceDE w:val="0"/>
              <w:autoSpaceDN w:val="0"/>
              <w:spacing w:before="120"/>
              <w:ind w:left="1126"/>
              <w:rPr>
                <w:rFonts w:cstheme="minorHAnsi"/>
              </w:rPr>
            </w:pPr>
            <w:r w:rsidRPr="00C024FA">
              <w:rPr>
                <w:rFonts w:cstheme="minorHAnsi"/>
              </w:rPr>
              <w:t>the person is a natural</w:t>
            </w:r>
            <w:r w:rsidRPr="00C024FA">
              <w:rPr>
                <w:rFonts w:cstheme="minorHAnsi"/>
                <w:spacing w:val="-3"/>
              </w:rPr>
              <w:t xml:space="preserve"> </w:t>
            </w:r>
            <w:r w:rsidRPr="00C024FA">
              <w:rPr>
                <w:rFonts w:cstheme="minorHAnsi"/>
              </w:rPr>
              <w:t>person:</w:t>
            </w:r>
          </w:p>
          <w:p w:rsidR="00C024FA" w:rsidRPr="00C024FA" w:rsidRDefault="00C024FA" w:rsidP="00C024FA">
            <w:pPr>
              <w:widowControl w:val="0"/>
              <w:numPr>
                <w:ilvl w:val="3"/>
                <w:numId w:val="3"/>
              </w:numPr>
              <w:tabs>
                <w:tab w:val="left" w:pos="3017"/>
                <w:tab w:val="left" w:pos="3018"/>
              </w:tabs>
              <w:autoSpaceDE w:val="0"/>
              <w:autoSpaceDN w:val="0"/>
              <w:spacing w:before="122"/>
              <w:ind w:left="1848" w:right="321" w:hanging="931"/>
              <w:rPr>
                <w:rFonts w:cstheme="minorHAnsi"/>
              </w:rPr>
            </w:pPr>
            <w:r w:rsidRPr="00C024FA">
              <w:rPr>
                <w:rFonts w:cstheme="minorHAnsi"/>
              </w:rPr>
              <w:t>who has been nominated for membership of ACEA as provided by rule 3,</w:t>
            </w:r>
            <w:r w:rsidRPr="00C024FA">
              <w:rPr>
                <w:rFonts w:cstheme="minorHAnsi"/>
                <w:spacing w:val="-1"/>
              </w:rPr>
              <w:t xml:space="preserve"> </w:t>
            </w:r>
            <w:r w:rsidRPr="00C024FA">
              <w:rPr>
                <w:rFonts w:cstheme="minorHAnsi"/>
              </w:rPr>
              <w:t>and</w:t>
            </w:r>
          </w:p>
          <w:p w:rsidR="00C024FA" w:rsidRPr="00C024FA" w:rsidRDefault="00C024FA" w:rsidP="00C024FA">
            <w:pPr>
              <w:widowControl w:val="0"/>
              <w:numPr>
                <w:ilvl w:val="3"/>
                <w:numId w:val="3"/>
              </w:numPr>
              <w:tabs>
                <w:tab w:val="left" w:pos="3017"/>
                <w:tab w:val="left" w:pos="3018"/>
              </w:tabs>
              <w:autoSpaceDE w:val="0"/>
              <w:autoSpaceDN w:val="0"/>
              <w:spacing w:before="69"/>
              <w:ind w:left="1848" w:right="428" w:hanging="931"/>
              <w:rPr>
                <w:rFonts w:cstheme="minorHAnsi"/>
              </w:rPr>
            </w:pPr>
            <w:r w:rsidRPr="00C024FA">
              <w:rPr>
                <w:rFonts w:cstheme="minorHAnsi"/>
              </w:rPr>
              <w:t>who has been approved for membership of ACEA by the ACEA Executive Committee of</w:t>
            </w:r>
            <w:r w:rsidRPr="00C024FA">
              <w:rPr>
                <w:rFonts w:cstheme="minorHAnsi"/>
                <w:spacing w:val="-5"/>
              </w:rPr>
              <w:t xml:space="preserve"> </w:t>
            </w:r>
            <w:r w:rsidRPr="00C024FA">
              <w:rPr>
                <w:rFonts w:cstheme="minorHAnsi"/>
              </w:rPr>
              <w:t>ACEA,</w:t>
            </w:r>
          </w:p>
          <w:p w:rsidR="00C024FA" w:rsidRPr="00C024FA" w:rsidRDefault="00C024FA" w:rsidP="00C024FA">
            <w:pPr>
              <w:widowControl w:val="0"/>
              <w:autoSpaceDE w:val="0"/>
              <w:autoSpaceDN w:val="0"/>
              <w:spacing w:before="121"/>
              <w:ind w:left="1128"/>
              <w:rPr>
                <w:rFonts w:eastAsia="Arial" w:cstheme="minorHAnsi"/>
                <w:lang w:val="en-US"/>
              </w:rPr>
            </w:pPr>
            <w:r w:rsidRPr="00C024FA">
              <w:rPr>
                <w:rFonts w:eastAsia="Arial" w:cstheme="minorHAnsi"/>
                <w:lang w:val="en-US"/>
              </w:rPr>
              <w:t>or</w:t>
            </w:r>
          </w:p>
          <w:p w:rsidR="00C024FA" w:rsidRPr="00C024FA" w:rsidRDefault="00C024FA" w:rsidP="00C024FA">
            <w:pPr>
              <w:widowControl w:val="0"/>
              <w:numPr>
                <w:ilvl w:val="0"/>
                <w:numId w:val="7"/>
              </w:numPr>
              <w:tabs>
                <w:tab w:val="left" w:pos="2837"/>
                <w:tab w:val="left" w:pos="2838"/>
              </w:tabs>
              <w:autoSpaceDE w:val="0"/>
              <w:autoSpaceDN w:val="0"/>
              <w:spacing w:before="121"/>
              <w:ind w:left="1126"/>
              <w:rPr>
                <w:rFonts w:cstheme="minorHAnsi"/>
              </w:rPr>
            </w:pPr>
            <w:r w:rsidRPr="00C024FA">
              <w:rPr>
                <w:rFonts w:cstheme="minorHAnsi"/>
              </w:rPr>
              <w:t>the</w:t>
            </w:r>
            <w:r w:rsidRPr="00C024FA">
              <w:rPr>
                <w:rFonts w:cstheme="minorHAnsi"/>
                <w:spacing w:val="-1"/>
              </w:rPr>
              <w:t xml:space="preserve"> </w:t>
            </w:r>
            <w:r w:rsidRPr="00C024FA">
              <w:rPr>
                <w:rFonts w:cstheme="minorHAnsi"/>
              </w:rPr>
              <w:t>organisation:</w:t>
            </w:r>
          </w:p>
          <w:p w:rsidR="00C024FA" w:rsidRPr="00C024FA" w:rsidRDefault="00C024FA" w:rsidP="00C024FA">
            <w:pPr>
              <w:widowControl w:val="0"/>
              <w:autoSpaceDE w:val="0"/>
              <w:autoSpaceDN w:val="0"/>
              <w:spacing w:before="119"/>
              <w:ind w:left="1457" w:right="574" w:hanging="361"/>
              <w:rPr>
                <w:rFonts w:eastAsia="Arial" w:cstheme="minorHAnsi"/>
                <w:lang w:val="en-US"/>
              </w:rPr>
            </w:pPr>
            <w:r w:rsidRPr="00C024FA">
              <w:rPr>
                <w:rFonts w:eastAsia="Arial" w:cstheme="minorHAnsi"/>
                <w:lang w:val="en-US"/>
              </w:rPr>
              <w:t>(ii) has been nominated for membership of ACEA as provided by rule 3, and</w:t>
            </w:r>
          </w:p>
          <w:p w:rsidR="00C024FA" w:rsidRPr="00C024FA" w:rsidRDefault="00C024FA" w:rsidP="00C024FA">
            <w:pPr>
              <w:widowControl w:val="0"/>
              <w:autoSpaceDE w:val="0"/>
              <w:autoSpaceDN w:val="0"/>
              <w:spacing w:before="121"/>
              <w:ind w:left="1457" w:right="304" w:hanging="361"/>
              <w:rPr>
                <w:rFonts w:eastAsia="Arial" w:cstheme="minorHAnsi"/>
                <w:lang w:val="en-US"/>
              </w:rPr>
            </w:pPr>
            <w:r w:rsidRPr="00C024FA">
              <w:rPr>
                <w:rFonts w:eastAsia="Arial" w:cstheme="minorHAnsi"/>
                <w:lang w:val="en-US"/>
              </w:rPr>
              <w:t xml:space="preserve">(ii) </w:t>
            </w:r>
            <w:proofErr w:type="gramStart"/>
            <w:r w:rsidRPr="00C024FA">
              <w:rPr>
                <w:rFonts w:eastAsia="Arial" w:cstheme="minorHAnsi"/>
                <w:lang w:val="en-US"/>
              </w:rPr>
              <w:t>has</w:t>
            </w:r>
            <w:proofErr w:type="gramEnd"/>
            <w:r w:rsidRPr="00C024FA">
              <w:rPr>
                <w:rFonts w:eastAsia="Arial" w:cstheme="minorHAnsi"/>
                <w:lang w:val="en-US"/>
              </w:rPr>
              <w:t xml:space="preserve"> been approved for membership of ACEA by the ACEA Executive Committee of ACEA.</w:t>
            </w:r>
          </w:p>
          <w:p w:rsidR="00C024FA" w:rsidRPr="00C024FA" w:rsidRDefault="00C024FA" w:rsidP="00C024FA">
            <w:pPr>
              <w:widowControl w:val="0"/>
              <w:autoSpaceDE w:val="0"/>
              <w:autoSpaceDN w:val="0"/>
              <w:spacing w:before="121"/>
              <w:ind w:left="1457" w:right="304" w:hanging="361"/>
              <w:rPr>
                <w:rFonts w:eastAsia="Arial" w:cstheme="minorHAnsi"/>
                <w:b/>
                <w:lang w:val="en-US"/>
              </w:rPr>
            </w:pPr>
            <w:r w:rsidRPr="00C024FA">
              <w:rPr>
                <w:rFonts w:eastAsia="Arial" w:cstheme="minorHAnsi"/>
                <w:b/>
                <w:lang w:val="en-US"/>
              </w:rPr>
              <w:t>Or</w:t>
            </w:r>
          </w:p>
          <w:p w:rsidR="00C024FA" w:rsidRPr="00C024FA" w:rsidRDefault="00C024FA" w:rsidP="00C024FA">
            <w:pPr>
              <w:pStyle w:val="ListParagraph"/>
              <w:widowControl w:val="0"/>
              <w:numPr>
                <w:ilvl w:val="0"/>
                <w:numId w:val="7"/>
              </w:numPr>
              <w:autoSpaceDE w:val="0"/>
              <w:autoSpaceDN w:val="0"/>
              <w:spacing w:before="121"/>
              <w:ind w:left="1049" w:right="304" w:hanging="567"/>
              <w:rPr>
                <w:rFonts w:eastAsia="Arial" w:cstheme="minorHAnsi"/>
                <w:b/>
                <w:i/>
                <w:lang w:val="en-US"/>
              </w:rPr>
            </w:pPr>
            <w:r w:rsidRPr="00C024FA">
              <w:rPr>
                <w:rFonts w:eastAsia="Arial" w:cstheme="minorHAnsi"/>
                <w:b/>
                <w:i/>
                <w:lang w:val="en-US"/>
              </w:rPr>
              <w:t>The jurisdiction:</w:t>
            </w:r>
          </w:p>
          <w:p w:rsidR="00C024FA" w:rsidRPr="00C024FA" w:rsidRDefault="00C024FA" w:rsidP="00C024FA">
            <w:pPr>
              <w:widowControl w:val="0"/>
              <w:autoSpaceDE w:val="0"/>
              <w:autoSpaceDN w:val="0"/>
              <w:spacing w:before="119"/>
              <w:ind w:left="1457" w:right="574" w:hanging="361"/>
              <w:rPr>
                <w:rFonts w:eastAsia="Arial" w:cstheme="minorHAnsi"/>
                <w:b/>
                <w:i/>
                <w:lang w:val="en-US"/>
              </w:rPr>
            </w:pPr>
            <w:r w:rsidRPr="00C024FA">
              <w:rPr>
                <w:rFonts w:eastAsia="Arial" w:cstheme="minorHAnsi"/>
                <w:b/>
                <w:i/>
                <w:lang w:val="en-US"/>
              </w:rPr>
              <w:t>(ii) has been nominated for membership of ACEA as provided by rule 3, and</w:t>
            </w:r>
          </w:p>
          <w:p w:rsidR="00C024FA" w:rsidRPr="00C024FA" w:rsidRDefault="00C024FA" w:rsidP="00C024FA">
            <w:pPr>
              <w:widowControl w:val="0"/>
              <w:autoSpaceDE w:val="0"/>
              <w:autoSpaceDN w:val="0"/>
              <w:spacing w:before="121"/>
              <w:ind w:left="1457" w:right="304" w:hanging="361"/>
              <w:rPr>
                <w:rFonts w:eastAsia="Arial" w:cstheme="minorHAnsi"/>
                <w:b/>
                <w:i/>
                <w:lang w:val="en-US"/>
              </w:rPr>
            </w:pPr>
            <w:r w:rsidRPr="00C024FA">
              <w:rPr>
                <w:rFonts w:eastAsia="Arial" w:cstheme="minorHAnsi"/>
                <w:b/>
                <w:i/>
                <w:lang w:val="en-US"/>
              </w:rPr>
              <w:t xml:space="preserve">(ii) </w:t>
            </w:r>
            <w:proofErr w:type="gramStart"/>
            <w:r w:rsidRPr="00C024FA">
              <w:rPr>
                <w:rFonts w:eastAsia="Arial" w:cstheme="minorHAnsi"/>
                <w:b/>
                <w:i/>
                <w:lang w:val="en-US"/>
              </w:rPr>
              <w:t>has</w:t>
            </w:r>
            <w:proofErr w:type="gramEnd"/>
            <w:r w:rsidRPr="00C024FA">
              <w:rPr>
                <w:rFonts w:eastAsia="Arial" w:cstheme="minorHAnsi"/>
                <w:b/>
                <w:i/>
                <w:lang w:val="en-US"/>
              </w:rPr>
              <w:t xml:space="preserve"> been approved for membership of ACEA by the ACEA Executive Committee of ACEA.</w:t>
            </w:r>
          </w:p>
          <w:p w:rsidR="00C024FA" w:rsidRDefault="00C024FA"/>
        </w:tc>
      </w:tr>
      <w:tr w:rsidR="00C024FA" w:rsidTr="00C024FA">
        <w:tc>
          <w:tcPr>
            <w:tcW w:w="4508" w:type="dxa"/>
          </w:tcPr>
          <w:p w:rsidR="00C024FA" w:rsidRDefault="00C024FA">
            <w:r w:rsidRPr="00C024FA">
              <w:t>The annual membership fee is to be paid prior to 31 December each calendar</w:t>
            </w:r>
            <w:r w:rsidRPr="00C024FA">
              <w:rPr>
                <w:spacing w:val="-1"/>
              </w:rPr>
              <w:t xml:space="preserve"> </w:t>
            </w:r>
            <w:r w:rsidRPr="00C024FA">
              <w:t>year</w:t>
            </w:r>
          </w:p>
        </w:tc>
        <w:tc>
          <w:tcPr>
            <w:tcW w:w="4508" w:type="dxa"/>
          </w:tcPr>
          <w:p w:rsidR="00C024FA" w:rsidRPr="00C024FA" w:rsidRDefault="00C024FA" w:rsidP="00C024FA">
            <w:pPr>
              <w:contextualSpacing/>
              <w:rPr>
                <w:b/>
                <w:i/>
                <w:lang w:val="en-US"/>
              </w:rPr>
            </w:pPr>
            <w:r w:rsidRPr="00C024FA">
              <w:rPr>
                <w:b/>
                <w:i/>
                <w:lang w:val="en-US"/>
              </w:rPr>
              <w:t>The annual membership fee covers financial membership for a period of 12 months of initial registration and due for renewal on that anniversary date</w:t>
            </w:r>
          </w:p>
          <w:p w:rsidR="00C024FA" w:rsidRDefault="00C024FA"/>
        </w:tc>
      </w:tr>
      <w:tr w:rsidR="00C024FA" w:rsidTr="00C024FA">
        <w:tc>
          <w:tcPr>
            <w:tcW w:w="4508" w:type="dxa"/>
          </w:tcPr>
          <w:p w:rsidR="00C024FA" w:rsidRDefault="00C024FA">
            <w:r>
              <w:t>new</w:t>
            </w:r>
          </w:p>
        </w:tc>
        <w:tc>
          <w:tcPr>
            <w:tcW w:w="4508" w:type="dxa"/>
          </w:tcPr>
          <w:p w:rsidR="00C024FA" w:rsidRPr="00C024FA" w:rsidRDefault="00C024FA">
            <w:pPr>
              <w:rPr>
                <w:b/>
                <w:i/>
              </w:rPr>
            </w:pPr>
            <w:r w:rsidRPr="00C024FA">
              <w:rPr>
                <w:b/>
                <w:i/>
                <w:lang w:val="en-US"/>
              </w:rPr>
              <w:t xml:space="preserve">That under section 14 (2) a new executive position “Communications and information representative” be included  </w:t>
            </w:r>
          </w:p>
        </w:tc>
      </w:tr>
      <w:tr w:rsidR="00C024FA" w:rsidTr="00C024FA">
        <w:tc>
          <w:tcPr>
            <w:tcW w:w="4508" w:type="dxa"/>
          </w:tcPr>
          <w:p w:rsidR="00C024FA" w:rsidRDefault="00C024FA">
            <w:r>
              <w:t>new</w:t>
            </w:r>
          </w:p>
        </w:tc>
        <w:tc>
          <w:tcPr>
            <w:tcW w:w="4508" w:type="dxa"/>
          </w:tcPr>
          <w:p w:rsidR="00C024FA" w:rsidRPr="00C024FA" w:rsidRDefault="00C024FA" w:rsidP="00C024FA">
            <w:pPr>
              <w:ind w:left="57" w:hanging="57"/>
              <w:rPr>
                <w:rFonts w:ascii="Calibri" w:eastAsia="Times New Roman" w:hAnsi="Calibri" w:cs="Calibri"/>
                <w:b/>
                <w:i/>
                <w:iCs/>
              </w:rPr>
            </w:pPr>
            <w:r w:rsidRPr="00C024FA">
              <w:rPr>
                <w:rFonts w:ascii="Calibri" w:eastAsia="Times New Roman" w:hAnsi="Calibri" w:cs="Calibri"/>
                <w:b/>
                <w:i/>
              </w:rPr>
              <w:t xml:space="preserve">That throughout the Constitution the term Juvenile Justice be   replaced with </w:t>
            </w:r>
            <w:r w:rsidRPr="00C024FA">
              <w:rPr>
                <w:rFonts w:ascii="Calibri" w:eastAsia="Times New Roman" w:hAnsi="Calibri" w:cs="Calibri"/>
                <w:b/>
                <w:i/>
                <w:iCs/>
              </w:rPr>
              <w:t xml:space="preserve">Youth Justice </w:t>
            </w:r>
          </w:p>
          <w:p w:rsidR="00C024FA" w:rsidRPr="00C024FA" w:rsidRDefault="00C024FA">
            <w:pPr>
              <w:rPr>
                <w:b/>
                <w:i/>
              </w:rPr>
            </w:pPr>
          </w:p>
        </w:tc>
      </w:tr>
      <w:tr w:rsidR="00C024FA" w:rsidTr="00C024FA">
        <w:tc>
          <w:tcPr>
            <w:tcW w:w="4508" w:type="dxa"/>
          </w:tcPr>
          <w:p w:rsidR="00C024FA" w:rsidRDefault="00C024FA">
            <w:r>
              <w:t>new</w:t>
            </w:r>
          </w:p>
        </w:tc>
        <w:tc>
          <w:tcPr>
            <w:tcW w:w="4508" w:type="dxa"/>
          </w:tcPr>
          <w:p w:rsidR="00C024FA" w:rsidRPr="00C024FA" w:rsidRDefault="00C024FA" w:rsidP="00C024FA">
            <w:pPr>
              <w:ind w:left="57"/>
              <w:rPr>
                <w:rFonts w:ascii="Calibri" w:eastAsia="Times New Roman" w:hAnsi="Calibri" w:cs="Calibri"/>
                <w:b/>
                <w:i/>
              </w:rPr>
            </w:pPr>
            <w:r w:rsidRPr="00C024FA">
              <w:rPr>
                <w:rFonts w:ascii="Calibri" w:eastAsia="Times New Roman" w:hAnsi="Calibri" w:cs="Calibri"/>
                <w:b/>
                <w:i/>
              </w:rPr>
              <w:t xml:space="preserve">That Appendix 2 Office Bearers Nomination Form be amended to include Youth Justice </w:t>
            </w:r>
            <w:r w:rsidRPr="00C024FA">
              <w:rPr>
                <w:rFonts w:ascii="Calibri" w:eastAsia="Times New Roman" w:hAnsi="Calibri" w:cs="Calibri"/>
                <w:b/>
                <w:i/>
              </w:rPr>
              <w:lastRenderedPageBreak/>
              <w:t>Representative as this has been left off the nomination form.</w:t>
            </w:r>
          </w:p>
          <w:p w:rsidR="00C024FA" w:rsidRPr="00C024FA" w:rsidRDefault="00C024FA" w:rsidP="00C024FA">
            <w:pPr>
              <w:ind w:left="57" w:hanging="57"/>
              <w:rPr>
                <w:rFonts w:ascii="Calibri" w:eastAsia="Times New Roman" w:hAnsi="Calibri" w:cs="Calibri"/>
                <w:b/>
                <w:i/>
              </w:rPr>
            </w:pPr>
          </w:p>
        </w:tc>
      </w:tr>
    </w:tbl>
    <w:p w:rsidR="00C024FA" w:rsidRDefault="00114AF8">
      <w:r>
        <w:lastRenderedPageBreak/>
        <w:t xml:space="preserve"> Moved:  Ron Wilson</w:t>
      </w:r>
      <w:r>
        <w:tab/>
      </w:r>
      <w:r>
        <w:tab/>
      </w:r>
      <w:r>
        <w:tab/>
      </w:r>
      <w:r>
        <w:tab/>
      </w:r>
      <w:r>
        <w:tab/>
        <w:t>Seconded: check</w:t>
      </w:r>
    </w:p>
    <w:p w:rsidR="00114AF8" w:rsidRDefault="00114AF8"/>
    <w:p w:rsidR="00114AF8" w:rsidRDefault="00114AF8"/>
    <w:p w:rsidR="00114AF8" w:rsidRDefault="00114AF8" w:rsidP="00114AF8">
      <w:pPr>
        <w:pStyle w:val="ListParagraph"/>
        <w:numPr>
          <w:ilvl w:val="0"/>
          <w:numId w:val="1"/>
        </w:numPr>
      </w:pPr>
      <w:r>
        <w:t xml:space="preserve"> Other Business</w:t>
      </w:r>
    </w:p>
    <w:p w:rsidR="00114AF8" w:rsidRPr="00114AF8" w:rsidRDefault="00114AF8" w:rsidP="00114AF8">
      <w:pPr>
        <w:rPr>
          <w:b/>
          <w:lang w:val="en-US"/>
        </w:rPr>
      </w:pPr>
      <w:bookmarkStart w:id="0" w:name="_GoBack"/>
      <w:r w:rsidRPr="00114AF8">
        <w:rPr>
          <w:b/>
          <w:lang w:val="en-US"/>
        </w:rPr>
        <w:t>ACEA Teacher of the Year (TOY)</w:t>
      </w:r>
    </w:p>
    <w:bookmarkEnd w:id="0"/>
    <w:p w:rsidR="00114AF8" w:rsidRDefault="00114AF8" w:rsidP="00114AF8">
      <w:pPr>
        <w:pStyle w:val="ListParagraph"/>
        <w:ind w:left="0"/>
        <w:rPr>
          <w:lang w:val="en-US"/>
        </w:rPr>
      </w:pPr>
      <w:r>
        <w:rPr>
          <w:lang w:val="en-US"/>
        </w:rPr>
        <w:t>The ACEA TOY has been celebrated every two years at the biennial International conference.  ACEA policy implies this is an annual event.  The ACEA Executive and Advisory Council concur this event should be held annually in keeping with the intent of the constitution.  However the Advisory Council and Executive believe the term Teacher of the Year lead to inconsistency in interpretation and application of the candidate and selection processes.  Hence t</w:t>
      </w:r>
      <w:r>
        <w:rPr>
          <w:lang w:val="en-US"/>
        </w:rPr>
        <w:t>he ACEA executive and Advisory C</w:t>
      </w:r>
      <w:r>
        <w:rPr>
          <w:lang w:val="en-US"/>
        </w:rPr>
        <w:t>ouncil recommend the award ought to be applied to the Corrections Educator of the Year for each jurisdiction and for the overall ACEA nominee.</w:t>
      </w:r>
    </w:p>
    <w:p w:rsidR="00114AF8" w:rsidRDefault="00114AF8" w:rsidP="00114AF8">
      <w:pPr>
        <w:pStyle w:val="ListParagraph"/>
        <w:ind w:left="0"/>
        <w:rPr>
          <w:lang w:val="en-US"/>
        </w:rPr>
      </w:pPr>
    </w:p>
    <w:p w:rsidR="00114AF8" w:rsidRDefault="00114AF8" w:rsidP="00114AF8">
      <w:pPr>
        <w:pStyle w:val="ListParagraph"/>
        <w:ind w:left="0"/>
        <w:rPr>
          <w:lang w:val="en-US"/>
        </w:rPr>
      </w:pPr>
      <w:r>
        <w:rPr>
          <w:lang w:val="en-US"/>
        </w:rPr>
        <w:t>Recommendation:  That the ACEA Teacher of the Year be re-named ACEA Corrections Educator of the Year and that this be held as an annual celebration.</w:t>
      </w:r>
    </w:p>
    <w:p w:rsidR="00114AF8" w:rsidRDefault="00114AF8" w:rsidP="00114AF8">
      <w:pPr>
        <w:pStyle w:val="ListParagraph"/>
        <w:ind w:left="360"/>
      </w:pPr>
    </w:p>
    <w:sectPr w:rsidR="00114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25C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6945E8"/>
    <w:multiLevelType w:val="hybridMultilevel"/>
    <w:tmpl w:val="39CCB5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1A309B4"/>
    <w:multiLevelType w:val="hybridMultilevel"/>
    <w:tmpl w:val="F1747E26"/>
    <w:lvl w:ilvl="0" w:tplc="205009D8">
      <w:start w:val="1"/>
      <w:numFmt w:val="decimal"/>
      <w:lvlText w:val="%1"/>
      <w:lvlJc w:val="left"/>
      <w:pPr>
        <w:ind w:left="857" w:hanging="720"/>
      </w:pPr>
      <w:rPr>
        <w:rFonts w:ascii="Arial" w:eastAsia="Arial" w:hAnsi="Arial" w:cs="Arial" w:hint="default"/>
        <w:b/>
        <w:bCs/>
        <w:w w:val="100"/>
        <w:sz w:val="28"/>
        <w:szCs w:val="28"/>
      </w:rPr>
    </w:lvl>
    <w:lvl w:ilvl="1" w:tplc="1F2E7EDA">
      <w:start w:val="1"/>
      <w:numFmt w:val="decimal"/>
      <w:lvlText w:val="(%2)"/>
      <w:lvlJc w:val="left"/>
      <w:pPr>
        <w:ind w:left="1980" w:hanging="428"/>
      </w:pPr>
      <w:rPr>
        <w:rFonts w:hint="default"/>
        <w:spacing w:val="-1"/>
        <w:w w:val="99"/>
      </w:rPr>
    </w:lvl>
    <w:lvl w:ilvl="2" w:tplc="F41C5AF6">
      <w:start w:val="1"/>
      <w:numFmt w:val="lowerLetter"/>
      <w:lvlText w:val="(%3)"/>
      <w:lvlJc w:val="left"/>
      <w:pPr>
        <w:ind w:left="2686" w:hanging="428"/>
      </w:pPr>
      <w:rPr>
        <w:rFonts w:ascii="Arial" w:eastAsia="Arial" w:hAnsi="Arial" w:cs="Arial" w:hint="default"/>
        <w:spacing w:val="-1"/>
        <w:w w:val="100"/>
        <w:sz w:val="22"/>
        <w:szCs w:val="22"/>
      </w:rPr>
    </w:lvl>
    <w:lvl w:ilvl="3" w:tplc="E0D6ECB8">
      <w:start w:val="1"/>
      <w:numFmt w:val="lowerRoman"/>
      <w:lvlText w:val="(%4)"/>
      <w:lvlJc w:val="left"/>
      <w:pPr>
        <w:ind w:left="3408" w:hanging="428"/>
      </w:pPr>
      <w:rPr>
        <w:rFonts w:ascii="Arial" w:eastAsia="Arial" w:hAnsi="Arial" w:cs="Arial" w:hint="default"/>
        <w:spacing w:val="-2"/>
        <w:w w:val="100"/>
        <w:sz w:val="22"/>
        <w:szCs w:val="22"/>
      </w:rPr>
    </w:lvl>
    <w:lvl w:ilvl="4" w:tplc="16D8BF30">
      <w:numFmt w:val="bullet"/>
      <w:lvlText w:val="•"/>
      <w:lvlJc w:val="left"/>
      <w:pPr>
        <w:ind w:left="1960" w:hanging="428"/>
      </w:pPr>
      <w:rPr>
        <w:rFonts w:hint="default"/>
      </w:rPr>
    </w:lvl>
    <w:lvl w:ilvl="5" w:tplc="2286C92A">
      <w:numFmt w:val="bullet"/>
      <w:lvlText w:val="•"/>
      <w:lvlJc w:val="left"/>
      <w:pPr>
        <w:ind w:left="1980" w:hanging="428"/>
      </w:pPr>
      <w:rPr>
        <w:rFonts w:hint="default"/>
      </w:rPr>
    </w:lvl>
    <w:lvl w:ilvl="6" w:tplc="E706657E">
      <w:numFmt w:val="bullet"/>
      <w:lvlText w:val="•"/>
      <w:lvlJc w:val="left"/>
      <w:pPr>
        <w:ind w:left="2260" w:hanging="428"/>
      </w:pPr>
      <w:rPr>
        <w:rFonts w:hint="default"/>
      </w:rPr>
    </w:lvl>
    <w:lvl w:ilvl="7" w:tplc="1F72AC4A">
      <w:numFmt w:val="bullet"/>
      <w:lvlText w:val="•"/>
      <w:lvlJc w:val="left"/>
      <w:pPr>
        <w:ind w:left="2280" w:hanging="428"/>
      </w:pPr>
      <w:rPr>
        <w:rFonts w:hint="default"/>
      </w:rPr>
    </w:lvl>
    <w:lvl w:ilvl="8" w:tplc="2432E850">
      <w:numFmt w:val="bullet"/>
      <w:lvlText w:val="•"/>
      <w:lvlJc w:val="left"/>
      <w:pPr>
        <w:ind w:left="2300" w:hanging="428"/>
      </w:pPr>
      <w:rPr>
        <w:rFonts w:hint="default"/>
      </w:rPr>
    </w:lvl>
  </w:abstractNum>
  <w:abstractNum w:abstractNumId="3" w15:restartNumberingAfterBreak="0">
    <w:nsid w:val="3D191711"/>
    <w:multiLevelType w:val="multilevel"/>
    <w:tmpl w:val="292AB5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C4353B"/>
    <w:multiLevelType w:val="hybridMultilevel"/>
    <w:tmpl w:val="8CA88DC2"/>
    <w:lvl w:ilvl="0" w:tplc="59B6FE8A">
      <w:start w:val="2"/>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5" w15:restartNumberingAfterBreak="0">
    <w:nsid w:val="51D81C2C"/>
    <w:multiLevelType w:val="hybridMultilevel"/>
    <w:tmpl w:val="589021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95923BA"/>
    <w:multiLevelType w:val="hybridMultilevel"/>
    <w:tmpl w:val="BE78AD1A"/>
    <w:lvl w:ilvl="0" w:tplc="F41C5AF6">
      <w:start w:val="1"/>
      <w:numFmt w:val="lowerLetter"/>
      <w:lvlText w:val="(%1)"/>
      <w:lvlJc w:val="left"/>
      <w:pPr>
        <w:ind w:left="2686" w:hanging="428"/>
      </w:pPr>
      <w:rPr>
        <w:rFonts w:ascii="Arial" w:eastAsia="Arial" w:hAnsi="Arial" w:cs="Arial" w:hint="default"/>
        <w:spacing w:val="-1"/>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FA"/>
    <w:rsid w:val="00114AF8"/>
    <w:rsid w:val="00417E8F"/>
    <w:rsid w:val="00C02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74C2C-1531-401C-914F-A86F4C0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02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Wilson</dc:creator>
  <cp:keywords/>
  <dc:description/>
  <cp:lastModifiedBy>Ron Wilson</cp:lastModifiedBy>
  <cp:revision>1</cp:revision>
  <dcterms:created xsi:type="dcterms:W3CDTF">2020-09-18T00:01:00Z</dcterms:created>
  <dcterms:modified xsi:type="dcterms:W3CDTF">2020-09-18T00:18:00Z</dcterms:modified>
</cp:coreProperties>
</file>